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FCCFC" w14:textId="77777777" w:rsidR="006116A5" w:rsidRDefault="006116A5" w:rsidP="006116A5">
      <w:pPr>
        <w:rPr>
          <w:b/>
          <w:bCs/>
        </w:rPr>
      </w:pPr>
    </w:p>
    <w:p w14:paraId="5E1CD141" w14:textId="4D85A081" w:rsidR="006116A5" w:rsidRPr="006116A5" w:rsidRDefault="006116A5" w:rsidP="006116A5">
      <w:pPr>
        <w:rPr>
          <w:b/>
          <w:bCs/>
          <w:color w:val="156082" w:themeColor="accent1"/>
          <w:sz w:val="28"/>
          <w:szCs w:val="28"/>
        </w:rPr>
      </w:pPr>
      <w:r w:rsidRPr="003F0459">
        <w:rPr>
          <w:b/>
          <w:bCs/>
          <w:color w:val="156082" w:themeColor="accent1"/>
          <w:sz w:val="28"/>
          <w:szCs w:val="28"/>
        </w:rPr>
        <w:t>The Bucket Stage: Building Early Attention Skills Through Irresistible Engagement</w:t>
      </w:r>
    </w:p>
    <w:p w14:paraId="1589DA72" w14:textId="64C7BFFA" w:rsidR="004D1E58" w:rsidRDefault="0022341C" w:rsidP="004D1E58">
      <w:pPr>
        <w:jc w:val="center"/>
        <w:rPr>
          <w:b/>
          <w:bCs/>
        </w:rPr>
      </w:pPr>
      <w:r w:rsidRPr="0022341C">
        <w:rPr>
          <w:b/>
          <w:bCs/>
          <w:noProof/>
        </w:rPr>
        <w:drawing>
          <wp:inline distT="0" distB="0" distL="0" distR="0" wp14:anchorId="3F3DD204" wp14:editId="2AB4C123">
            <wp:extent cx="2952902" cy="1886047"/>
            <wp:effectExtent l="0" t="0" r="0" b="0"/>
            <wp:docPr id="1846675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675999" name=""/>
                    <pic:cNvPicPr/>
                  </pic:nvPicPr>
                  <pic:blipFill>
                    <a:blip r:embed="rId10"/>
                    <a:stretch>
                      <a:fillRect/>
                    </a:stretch>
                  </pic:blipFill>
                  <pic:spPr>
                    <a:xfrm>
                      <a:off x="0" y="0"/>
                      <a:ext cx="2952902" cy="1886047"/>
                    </a:xfrm>
                    <a:prstGeom prst="rect">
                      <a:avLst/>
                    </a:prstGeom>
                    <a:ln>
                      <a:noFill/>
                    </a:ln>
                    <a:effectLst>
                      <a:softEdge rad="112500"/>
                    </a:effectLst>
                  </pic:spPr>
                </pic:pic>
              </a:graphicData>
            </a:graphic>
          </wp:inline>
        </w:drawing>
      </w:r>
    </w:p>
    <w:p w14:paraId="52CCDDE3" w14:textId="0F76A4A5" w:rsidR="00D16B24" w:rsidRPr="00D16B24" w:rsidRDefault="00D16B24" w:rsidP="00D16B24">
      <w:r w:rsidRPr="00D16B24">
        <w:t xml:space="preserve">Helping young children develop their focus and attention skills is a core part of their early learning journey—especially for those who benefit from structured, visual, and highly engaging approaches. One highly effective method used in early </w:t>
      </w:r>
      <w:r w:rsidR="00947C26">
        <w:t>years</w:t>
      </w:r>
      <w:r w:rsidRPr="00D16B24">
        <w:t xml:space="preserve"> settings is </w:t>
      </w:r>
      <w:r w:rsidRPr="00D16B24">
        <w:rPr>
          <w:b/>
          <w:bCs/>
        </w:rPr>
        <w:t>Stage 1 of Attention Autism</w:t>
      </w:r>
      <w:r w:rsidRPr="00D16B24">
        <w:t xml:space="preserve">, known as </w:t>
      </w:r>
      <w:r w:rsidRPr="00D16B24">
        <w:rPr>
          <w:b/>
          <w:bCs/>
        </w:rPr>
        <w:t>The Bucket Stage</w:t>
      </w:r>
      <w:r w:rsidRPr="00D16B24">
        <w:t>.</w:t>
      </w:r>
    </w:p>
    <w:p w14:paraId="18692E0D" w14:textId="77777777" w:rsidR="00D16B24" w:rsidRPr="00D16B24" w:rsidRDefault="00D16B24" w:rsidP="00D16B24">
      <w:r w:rsidRPr="00D16B24">
        <w:t xml:space="preserve">This first stage is designed to do one thing brilliantly: </w:t>
      </w:r>
      <w:r w:rsidRPr="00D16B24">
        <w:rPr>
          <w:b/>
          <w:bCs/>
        </w:rPr>
        <w:t>capture and hold a child’s attention</w:t>
      </w:r>
      <w:r w:rsidRPr="00D16B24">
        <w:t xml:space="preserve"> through excitement, novelty, and irresistible engagement. Below, we’ll explore the purpose of Stage 1, how it works, and how you can set it up successfully at home or in the classroom.</w:t>
      </w:r>
    </w:p>
    <w:p w14:paraId="1618615F" w14:textId="77777777" w:rsidR="00D16B24" w:rsidRPr="00D16B24" w:rsidRDefault="00000000" w:rsidP="00D16B24">
      <w:r>
        <w:pict w14:anchorId="34B8468B">
          <v:rect id="_x0000_i1025" style="width:0;height:1.5pt" o:hralign="center" o:hrstd="t" o:hr="t" fillcolor="#a0a0a0" stroked="f"/>
        </w:pict>
      </w:r>
    </w:p>
    <w:p w14:paraId="405C3947" w14:textId="77777777" w:rsidR="00D16B24" w:rsidRPr="003F0459" w:rsidRDefault="00D16B24" w:rsidP="00D16B24">
      <w:pPr>
        <w:rPr>
          <w:b/>
          <w:bCs/>
          <w:color w:val="156082" w:themeColor="accent1"/>
        </w:rPr>
      </w:pPr>
      <w:r w:rsidRPr="003F0459">
        <w:rPr>
          <w:b/>
          <w:bCs/>
          <w:color w:val="156082" w:themeColor="accent1"/>
        </w:rPr>
        <w:t>What Is the Bucket Stage?</w:t>
      </w:r>
    </w:p>
    <w:p w14:paraId="2D0E2260" w14:textId="77777777" w:rsidR="00D16B24" w:rsidRPr="00D16B24" w:rsidRDefault="00D16B24" w:rsidP="00D16B24">
      <w:r w:rsidRPr="00D16B24">
        <w:t>At its heart, the Bucket Stage has one simple goal:</w:t>
      </w:r>
    </w:p>
    <w:p w14:paraId="12497E97" w14:textId="57C7003C" w:rsidR="00D16B24" w:rsidRPr="00D16B24" w:rsidRDefault="00D16B24" w:rsidP="00D16B24">
      <w:pPr>
        <w:rPr>
          <w:b/>
          <w:bCs/>
        </w:rPr>
      </w:pPr>
      <w:r w:rsidRPr="00D16B24">
        <w:rPr>
          <w:rFonts w:ascii="Segoe UI Emoji" w:hAnsi="Segoe UI Emoji" w:cs="Segoe UI Emoji"/>
          <w:b/>
          <w:bCs/>
        </w:rPr>
        <w:t>🎯</w:t>
      </w:r>
      <w:r w:rsidRPr="00D16B24">
        <w:rPr>
          <w:b/>
          <w:bCs/>
        </w:rPr>
        <w:t xml:space="preserve"> Teach children to focus on an adult</w:t>
      </w:r>
      <w:r w:rsidR="07327DEE" w:rsidRPr="5C09F419">
        <w:rPr>
          <w:b/>
          <w:bCs/>
        </w:rPr>
        <w:t xml:space="preserve"> </w:t>
      </w:r>
      <w:r w:rsidRPr="00D16B24">
        <w:rPr>
          <w:b/>
          <w:bCs/>
        </w:rPr>
        <w:t>led activity for short bursts of time.</w:t>
      </w:r>
    </w:p>
    <w:p w14:paraId="288A25CC" w14:textId="4853725E" w:rsidR="00D16B24" w:rsidRPr="00D16B24" w:rsidRDefault="00D16B24" w:rsidP="00D16B24">
      <w:r w:rsidRPr="00D16B24">
        <w:t xml:space="preserve">To do this, we use a </w:t>
      </w:r>
      <w:r w:rsidRPr="00D16B24">
        <w:rPr>
          <w:b/>
          <w:bCs/>
        </w:rPr>
        <w:t>special, non</w:t>
      </w:r>
      <w:r w:rsidR="568D17B7" w:rsidRPr="612A7F8B">
        <w:rPr>
          <w:b/>
          <w:bCs/>
        </w:rPr>
        <w:t>-</w:t>
      </w:r>
      <w:r w:rsidRPr="00D16B24">
        <w:rPr>
          <w:b/>
          <w:bCs/>
        </w:rPr>
        <w:t>transparent container</w:t>
      </w:r>
      <w:r w:rsidRPr="00D16B24">
        <w:t xml:space="preserve">—the “bucket”—filled with </w:t>
      </w:r>
      <w:r w:rsidRPr="00D16B24">
        <w:rPr>
          <w:b/>
          <w:bCs/>
        </w:rPr>
        <w:t>visually stimulating, surprising, never</w:t>
      </w:r>
      <w:r w:rsidR="7AED98B2" w:rsidRPr="612A7F8B">
        <w:rPr>
          <w:b/>
          <w:bCs/>
        </w:rPr>
        <w:t xml:space="preserve"> </w:t>
      </w:r>
      <w:r w:rsidRPr="00D16B24">
        <w:rPr>
          <w:b/>
          <w:bCs/>
        </w:rPr>
        <w:t>seen objects</w:t>
      </w:r>
      <w:r w:rsidRPr="00D16B24">
        <w:t>.</w:t>
      </w:r>
    </w:p>
    <w:p w14:paraId="56D8CCC3" w14:textId="77777777" w:rsidR="00D16B24" w:rsidRPr="00D16B24" w:rsidRDefault="00D16B24" w:rsidP="00D16B24">
      <w:r w:rsidRPr="00D16B24">
        <w:t>The novelty and sensory appeal draw the child’s attention naturally. Over time, this builds the foundation for:</w:t>
      </w:r>
    </w:p>
    <w:p w14:paraId="563443E2" w14:textId="77777777" w:rsidR="00D16B24" w:rsidRPr="00D16B24" w:rsidRDefault="00D16B24" w:rsidP="00D16B24">
      <w:pPr>
        <w:numPr>
          <w:ilvl w:val="0"/>
          <w:numId w:val="1"/>
        </w:numPr>
      </w:pPr>
      <w:r w:rsidRPr="00D16B24">
        <w:t>Shared attention</w:t>
      </w:r>
    </w:p>
    <w:p w14:paraId="2E1D1649" w14:textId="77777777" w:rsidR="00D16B24" w:rsidRPr="00D16B24" w:rsidRDefault="00D16B24" w:rsidP="00D16B24">
      <w:pPr>
        <w:numPr>
          <w:ilvl w:val="0"/>
          <w:numId w:val="1"/>
        </w:numPr>
      </w:pPr>
      <w:r w:rsidRPr="00D16B24">
        <w:t>Increased visual focus</w:t>
      </w:r>
    </w:p>
    <w:p w14:paraId="2CECB88D" w14:textId="77777777" w:rsidR="00D16B24" w:rsidRPr="00D16B24" w:rsidRDefault="00D16B24" w:rsidP="00D16B24">
      <w:pPr>
        <w:numPr>
          <w:ilvl w:val="0"/>
          <w:numId w:val="1"/>
        </w:numPr>
      </w:pPr>
      <w:r w:rsidRPr="00D16B24">
        <w:t>Group participation</w:t>
      </w:r>
    </w:p>
    <w:p w14:paraId="1070BE62" w14:textId="77777777" w:rsidR="00D16B24" w:rsidRPr="00D16B24" w:rsidRDefault="00D16B24" w:rsidP="00D16B24">
      <w:pPr>
        <w:numPr>
          <w:ilvl w:val="0"/>
          <w:numId w:val="1"/>
        </w:numPr>
      </w:pPr>
      <w:r w:rsidRPr="00D16B24">
        <w:t>Readiness for later learning stages</w:t>
      </w:r>
    </w:p>
    <w:p w14:paraId="5044822D" w14:textId="77777777" w:rsidR="00D16B24" w:rsidRPr="00D16B24" w:rsidRDefault="00000000" w:rsidP="00D16B24">
      <w:r>
        <w:pict w14:anchorId="1C770928">
          <v:rect id="_x0000_i1026" style="width:0;height:1.5pt" o:hralign="center" o:hrstd="t" o:hr="t" fillcolor="#a0a0a0" stroked="f"/>
        </w:pict>
      </w:r>
    </w:p>
    <w:p w14:paraId="4FF36D41" w14:textId="77777777" w:rsidR="00166B03" w:rsidRDefault="00166B03" w:rsidP="00D16B24">
      <w:pPr>
        <w:rPr>
          <w:b/>
          <w:bCs/>
        </w:rPr>
      </w:pPr>
    </w:p>
    <w:p w14:paraId="2028235B" w14:textId="77777777" w:rsidR="00166B03" w:rsidRDefault="00166B03" w:rsidP="00D16B24">
      <w:pPr>
        <w:rPr>
          <w:b/>
          <w:bCs/>
        </w:rPr>
      </w:pPr>
    </w:p>
    <w:p w14:paraId="40C395EA" w14:textId="77777777" w:rsidR="005612F0" w:rsidRDefault="005612F0" w:rsidP="00D16B24">
      <w:pPr>
        <w:rPr>
          <w:b/>
          <w:bCs/>
          <w:color w:val="156082" w:themeColor="accent1"/>
        </w:rPr>
      </w:pPr>
    </w:p>
    <w:p w14:paraId="01249E0B" w14:textId="77777777" w:rsidR="005612F0" w:rsidRDefault="005612F0" w:rsidP="00D16B24">
      <w:pPr>
        <w:rPr>
          <w:b/>
          <w:bCs/>
          <w:color w:val="156082" w:themeColor="accent1"/>
        </w:rPr>
      </w:pPr>
    </w:p>
    <w:p w14:paraId="6F42EA9C" w14:textId="2A5B06E7" w:rsidR="00D16B24" w:rsidRPr="00166B03" w:rsidRDefault="00D16B24" w:rsidP="00D16B24">
      <w:pPr>
        <w:rPr>
          <w:b/>
          <w:bCs/>
          <w:color w:val="156082" w:themeColor="accent1"/>
        </w:rPr>
      </w:pPr>
      <w:r w:rsidRPr="00166B03">
        <w:rPr>
          <w:b/>
          <w:bCs/>
          <w:color w:val="156082" w:themeColor="accent1"/>
        </w:rPr>
        <w:t>Choosing the Magic: What Goes in the Bucket</w:t>
      </w:r>
    </w:p>
    <w:p w14:paraId="752F62F2" w14:textId="77777777" w:rsidR="00D16B24" w:rsidRPr="00D16B24" w:rsidRDefault="00D16B24" w:rsidP="00D16B24">
      <w:r w:rsidRPr="00D16B24">
        <w:t xml:space="preserve">The bucket must stay </w:t>
      </w:r>
      <w:r w:rsidRPr="00D16B24">
        <w:rPr>
          <w:b/>
          <w:bCs/>
        </w:rPr>
        <w:t>closed and mysterious</w:t>
      </w:r>
      <w:r w:rsidRPr="00D16B24">
        <w:t xml:space="preserve"> until the moment of introduction. The items inside should be:</w:t>
      </w:r>
    </w:p>
    <w:p w14:paraId="35F3DCEB" w14:textId="77777777" w:rsidR="00D16B24" w:rsidRPr="007725F3" w:rsidRDefault="00D16B24" w:rsidP="00D16B24">
      <w:pPr>
        <w:numPr>
          <w:ilvl w:val="0"/>
          <w:numId w:val="2"/>
        </w:numPr>
      </w:pPr>
      <w:r w:rsidRPr="007725F3">
        <w:t>Visually stimulating</w:t>
      </w:r>
    </w:p>
    <w:p w14:paraId="676EF8B6" w14:textId="77777777" w:rsidR="00D16B24" w:rsidRPr="007725F3" w:rsidRDefault="00D16B24" w:rsidP="00D16B24">
      <w:pPr>
        <w:numPr>
          <w:ilvl w:val="0"/>
          <w:numId w:val="2"/>
        </w:numPr>
      </w:pPr>
      <w:r w:rsidRPr="007725F3">
        <w:t>Mechanical, musical, or interactive</w:t>
      </w:r>
    </w:p>
    <w:p w14:paraId="27485A0D" w14:textId="77777777" w:rsidR="00D16B24" w:rsidRPr="007725F3" w:rsidRDefault="00D16B24" w:rsidP="00D16B24">
      <w:pPr>
        <w:numPr>
          <w:ilvl w:val="0"/>
          <w:numId w:val="2"/>
        </w:numPr>
      </w:pPr>
      <w:r w:rsidRPr="007725F3">
        <w:t>Brand new to the child</w:t>
      </w:r>
    </w:p>
    <w:p w14:paraId="1DB368D6" w14:textId="10FAFBB3" w:rsidR="00D16B24" w:rsidRPr="007725F3" w:rsidRDefault="005612F0" w:rsidP="00D16B24">
      <w:pPr>
        <w:numPr>
          <w:ilvl w:val="0"/>
          <w:numId w:val="2"/>
        </w:numPr>
      </w:pPr>
      <w:r>
        <w:rPr>
          <w:noProof/>
        </w:rPr>
        <mc:AlternateContent>
          <mc:Choice Requires="wps">
            <w:drawing>
              <wp:anchor distT="0" distB="0" distL="114300" distR="114300" simplePos="0" relativeHeight="251659264" behindDoc="0" locked="0" layoutInCell="1" allowOverlap="1" wp14:anchorId="0796B009" wp14:editId="45FAE9AD">
                <wp:simplePos x="0" y="0"/>
                <wp:positionH relativeFrom="column">
                  <wp:posOffset>3117850</wp:posOffset>
                </wp:positionH>
                <wp:positionV relativeFrom="paragraph">
                  <wp:posOffset>68580</wp:posOffset>
                </wp:positionV>
                <wp:extent cx="1365250" cy="1803400"/>
                <wp:effectExtent l="0" t="0" r="6350" b="6350"/>
                <wp:wrapNone/>
                <wp:docPr id="1818742948" name="Text Box 1"/>
                <wp:cNvGraphicFramePr/>
                <a:graphic xmlns:a="http://schemas.openxmlformats.org/drawingml/2006/main">
                  <a:graphicData uri="http://schemas.microsoft.com/office/word/2010/wordprocessingShape">
                    <wps:wsp>
                      <wps:cNvSpPr txBox="1"/>
                      <wps:spPr>
                        <a:xfrm>
                          <a:off x="0" y="0"/>
                          <a:ext cx="1365250" cy="1803400"/>
                        </a:xfrm>
                        <a:prstGeom prst="rect">
                          <a:avLst/>
                        </a:prstGeom>
                        <a:solidFill>
                          <a:schemeClr val="lt1"/>
                        </a:solidFill>
                        <a:ln w="6350">
                          <a:noFill/>
                        </a:ln>
                      </wps:spPr>
                      <wps:txbx>
                        <w:txbxContent>
                          <w:p w14:paraId="1A27FA15" w14:textId="33F99580" w:rsidR="005612F0" w:rsidRDefault="005030D6">
                            <w:r>
                              <w:rPr>
                                <w:noProof/>
                              </w:rPr>
                              <w:drawing>
                                <wp:inline distT="0" distB="0" distL="0" distR="0" wp14:anchorId="08E92C7D" wp14:editId="0E3B8B17">
                                  <wp:extent cx="1199515" cy="1705610"/>
                                  <wp:effectExtent l="0" t="0" r="635" b="8890"/>
                                  <wp:docPr id="168203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3398" name=""/>
                                          <pic:cNvPicPr/>
                                        </pic:nvPicPr>
                                        <pic:blipFill>
                                          <a:blip r:embed="rId11"/>
                                          <a:stretch>
                                            <a:fillRect/>
                                          </a:stretch>
                                        </pic:blipFill>
                                        <pic:spPr>
                                          <a:xfrm>
                                            <a:off x="0" y="0"/>
                                            <a:ext cx="1199515" cy="1705610"/>
                                          </a:xfrm>
                                          <a:prstGeom prst="rect">
                                            <a:avLst/>
                                          </a:prstGeom>
                                          <a:ln>
                                            <a:noFill/>
                                          </a:ln>
                                          <a:effectLst>
                                            <a:softEdge rad="112500"/>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796B009" id="_x0000_t202" coordsize="21600,21600" o:spt="202" path="m,l,21600r21600,l21600,xe">
                <v:stroke joinstyle="miter"/>
                <v:path gradientshapeok="t" o:connecttype="rect"/>
              </v:shapetype>
              <v:shape id="Text Box 1" o:spid="_x0000_s1026" type="#_x0000_t202" style="position:absolute;left:0;text-align:left;margin-left:245.5pt;margin-top:5.4pt;width:107.5pt;height:14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" fillcolor="white [3201]" stroked="f" strokeweight=".5pt">
                <v:textbox>
                  <w:txbxContent>
                    <w:p w14:paraId="1A27FA15" w14:textId="33F99580" w:rsidR="005612F0" w:rsidRDefault="005030D6">
                      <w:r>
                        <w:rPr>
                          <w:noProof/>
                        </w:rPr>
                        <w:drawing>
                          <wp:inline distT="0" distB="0" distL="0" distR="0" wp14:anchorId="08E92C7D" wp14:editId="0E3B8B17">
                            <wp:extent cx="1199515" cy="1705610"/>
                            <wp:effectExtent l="0" t="0" r="635" b="8890"/>
                            <wp:docPr id="168203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3398" name=""/>
                                    <pic:cNvPicPr/>
                                  </pic:nvPicPr>
                                  <pic:blipFill>
                                    <a:blip r:embed="rId12"/>
                                    <a:stretch>
                                      <a:fillRect/>
                                    </a:stretch>
                                  </pic:blipFill>
                                  <pic:spPr>
                                    <a:xfrm>
                                      <a:off x="0" y="0"/>
                                      <a:ext cx="1199515" cy="1705610"/>
                                    </a:xfrm>
                                    <a:prstGeom prst="rect">
                                      <a:avLst/>
                                    </a:prstGeom>
                                    <a:ln>
                                      <a:noFill/>
                                    </a:ln>
                                    <a:effectLst>
                                      <a:softEdge rad="112500"/>
                                    </a:effectLst>
                                  </pic:spPr>
                                </pic:pic>
                              </a:graphicData>
                            </a:graphic>
                          </wp:inline>
                        </w:drawing>
                      </w:r>
                    </w:p>
                  </w:txbxContent>
                </v:textbox>
              </v:shape>
            </w:pict>
          </mc:Fallback>
        </mc:AlternateContent>
      </w:r>
      <w:r w:rsidR="00D16B24" w:rsidRPr="007725F3">
        <w:t>Used only for the Bucket Stage</w:t>
      </w:r>
    </w:p>
    <w:p w14:paraId="06C9917E" w14:textId="77777777" w:rsidR="00D16B24" w:rsidRPr="00D16B24" w:rsidRDefault="00D16B24" w:rsidP="00D16B24">
      <w:pPr>
        <w:rPr>
          <w:b/>
          <w:bCs/>
        </w:rPr>
      </w:pPr>
      <w:r w:rsidRPr="00D16B24">
        <w:rPr>
          <w:b/>
          <w:bCs/>
        </w:rPr>
        <w:t>Great examples include:</w:t>
      </w:r>
    </w:p>
    <w:p w14:paraId="7DDF47A4" w14:textId="77777777" w:rsidR="00D16B24" w:rsidRPr="00D16B24" w:rsidRDefault="00D16B24" w:rsidP="00D16B24">
      <w:pPr>
        <w:numPr>
          <w:ilvl w:val="0"/>
          <w:numId w:val="3"/>
        </w:numPr>
      </w:pPr>
      <w:r w:rsidRPr="00D16B24">
        <w:t>Wind</w:t>
      </w:r>
      <w:r w:rsidRPr="00D16B24">
        <w:noBreakHyphen/>
        <w:t>up toys</w:t>
      </w:r>
    </w:p>
    <w:p w14:paraId="79CC599B" w14:textId="77777777" w:rsidR="00D16B24" w:rsidRPr="00D16B24" w:rsidRDefault="00D16B24" w:rsidP="00D16B24">
      <w:pPr>
        <w:numPr>
          <w:ilvl w:val="0"/>
          <w:numId w:val="3"/>
        </w:numPr>
      </w:pPr>
      <w:r w:rsidRPr="00D16B24">
        <w:t>Pop</w:t>
      </w:r>
      <w:r w:rsidRPr="00D16B24">
        <w:noBreakHyphen/>
        <w:t>up toys</w:t>
      </w:r>
    </w:p>
    <w:p w14:paraId="2F969967" w14:textId="77777777" w:rsidR="00D16B24" w:rsidRPr="00D16B24" w:rsidRDefault="00D16B24" w:rsidP="00D16B24">
      <w:pPr>
        <w:numPr>
          <w:ilvl w:val="0"/>
          <w:numId w:val="3"/>
        </w:numPr>
      </w:pPr>
      <w:r w:rsidRPr="00D16B24">
        <w:t>Light</w:t>
      </w:r>
      <w:r w:rsidRPr="00D16B24">
        <w:noBreakHyphen/>
        <w:t>up spinners</w:t>
      </w:r>
    </w:p>
    <w:p w14:paraId="3F87D544" w14:textId="77777777" w:rsidR="00D16B24" w:rsidRPr="00D16B24" w:rsidRDefault="00D16B24" w:rsidP="00D16B24">
      <w:pPr>
        <w:numPr>
          <w:ilvl w:val="0"/>
          <w:numId w:val="3"/>
        </w:numPr>
      </w:pPr>
      <w:r w:rsidRPr="00D16B24">
        <w:t>Mini musical gadgets</w:t>
      </w:r>
    </w:p>
    <w:p w14:paraId="590D6B2B" w14:textId="77777777" w:rsidR="00D16B24" w:rsidRPr="00D16B24" w:rsidRDefault="00D16B24" w:rsidP="00D16B24">
      <w:pPr>
        <w:numPr>
          <w:ilvl w:val="0"/>
          <w:numId w:val="3"/>
        </w:numPr>
      </w:pPr>
      <w:r w:rsidRPr="00D16B24">
        <w:t>Small mechanical novelties</w:t>
      </w:r>
    </w:p>
    <w:p w14:paraId="72D525D0" w14:textId="77777777" w:rsidR="00D16B24" w:rsidRPr="00D16B24" w:rsidRDefault="00D16B24" w:rsidP="00D16B24">
      <w:r w:rsidRPr="00D16B24">
        <w:t>If resources are limited, household items can work wonderfully with a bit of creativity:</w:t>
      </w:r>
    </w:p>
    <w:p w14:paraId="76188A8E" w14:textId="06F65B27" w:rsidR="00D16B24" w:rsidRPr="00D16B24" w:rsidRDefault="008E4E5A" w:rsidP="00D16B24">
      <w:pPr>
        <w:numPr>
          <w:ilvl w:val="0"/>
          <w:numId w:val="4"/>
        </w:numPr>
      </w:pPr>
      <w:r>
        <w:rPr>
          <w:noProof/>
        </w:rPr>
        <mc:AlternateContent>
          <mc:Choice Requires="wps">
            <w:drawing>
              <wp:anchor distT="0" distB="0" distL="114300" distR="114300" simplePos="0" relativeHeight="251660288" behindDoc="0" locked="0" layoutInCell="1" allowOverlap="1" wp14:anchorId="3413A12A" wp14:editId="2230F616">
                <wp:simplePos x="0" y="0"/>
                <wp:positionH relativeFrom="column">
                  <wp:posOffset>3136900</wp:posOffset>
                </wp:positionH>
                <wp:positionV relativeFrom="paragraph">
                  <wp:posOffset>19050</wp:posOffset>
                </wp:positionV>
                <wp:extent cx="1676400" cy="1358900"/>
                <wp:effectExtent l="0" t="0" r="0" b="0"/>
                <wp:wrapNone/>
                <wp:docPr id="24988541" name="Text Box 2"/>
                <wp:cNvGraphicFramePr/>
                <a:graphic xmlns:a="http://schemas.openxmlformats.org/drawingml/2006/main">
                  <a:graphicData uri="http://schemas.microsoft.com/office/word/2010/wordprocessingShape">
                    <wps:wsp>
                      <wps:cNvSpPr txBox="1"/>
                      <wps:spPr>
                        <a:xfrm>
                          <a:off x="0" y="0"/>
                          <a:ext cx="1676400" cy="1358900"/>
                        </a:xfrm>
                        <a:prstGeom prst="rect">
                          <a:avLst/>
                        </a:prstGeom>
                        <a:solidFill>
                          <a:schemeClr val="lt1"/>
                        </a:solidFill>
                        <a:ln w="6350">
                          <a:noFill/>
                        </a:ln>
                      </wps:spPr>
                      <wps:txbx>
                        <w:txbxContent>
                          <w:p w14:paraId="7C4E6A76" w14:textId="3401A178" w:rsidR="008E4E5A" w:rsidRDefault="008E4E5A">
                            <w:r>
                              <w:rPr>
                                <w:noProof/>
                              </w:rPr>
                              <w:drawing>
                                <wp:inline distT="0" distB="0" distL="0" distR="0" wp14:anchorId="3D9C36EF" wp14:editId="2793B3DD">
                                  <wp:extent cx="1227015" cy="1111250"/>
                                  <wp:effectExtent l="0" t="0" r="0" b="0"/>
                                  <wp:docPr id="695339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339615" name=""/>
                                          <pic:cNvPicPr/>
                                        </pic:nvPicPr>
                                        <pic:blipFill rotWithShape="1">
                                          <a:blip r:embed="rId13"/>
                                          <a:srcRect t="34204"/>
                                          <a:stretch>
                                            <a:fillRect/>
                                          </a:stretch>
                                        </pic:blipFill>
                                        <pic:spPr bwMode="auto">
                                          <a:xfrm>
                                            <a:off x="0" y="0"/>
                                            <a:ext cx="1241406" cy="1124284"/>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3A12A" id="Text Box 2" o:spid="_x0000_s1027" type="#_x0000_t202" style="position:absolute;left:0;text-align:left;margin-left:247pt;margin-top:1.5pt;width:132pt;height:1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" fillcolor="white [3201]" stroked="f" strokeweight=".5pt">
                <v:textbox>
                  <w:txbxContent>
                    <w:p w14:paraId="7C4E6A76" w14:textId="3401A178" w:rsidR="008E4E5A" w:rsidRDefault="008E4E5A">
                      <w:r>
                        <w:rPr>
                          <w:noProof/>
                        </w:rPr>
                        <w:drawing>
                          <wp:inline distT="0" distB="0" distL="0" distR="0" wp14:anchorId="3D9C36EF" wp14:editId="2793B3DD">
                            <wp:extent cx="1227015" cy="1111250"/>
                            <wp:effectExtent l="0" t="0" r="0" b="0"/>
                            <wp:docPr id="695339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339615" name=""/>
                                    <pic:cNvPicPr/>
                                  </pic:nvPicPr>
                                  <pic:blipFill rotWithShape="1">
                                    <a:blip r:embed="rId14"/>
                                    <a:srcRect t="34204"/>
                                    <a:stretch>
                                      <a:fillRect/>
                                    </a:stretch>
                                  </pic:blipFill>
                                  <pic:spPr bwMode="auto">
                                    <a:xfrm>
                                      <a:off x="0" y="0"/>
                                      <a:ext cx="1241406" cy="1124284"/>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txbxContent>
                </v:textbox>
              </v:shape>
            </w:pict>
          </mc:Fallback>
        </mc:AlternateContent>
      </w:r>
      <w:r w:rsidR="00D16B24" w:rsidRPr="00D16B24">
        <w:t>Decorated sunglasses</w:t>
      </w:r>
    </w:p>
    <w:p w14:paraId="26885C4E" w14:textId="77777777" w:rsidR="00D16B24" w:rsidRPr="00D16B24" w:rsidRDefault="00D16B24" w:rsidP="00D16B24">
      <w:pPr>
        <w:numPr>
          <w:ilvl w:val="0"/>
          <w:numId w:val="4"/>
        </w:numPr>
      </w:pPr>
      <w:r w:rsidRPr="00D16B24">
        <w:t>Kitchen roll tubes</w:t>
      </w:r>
    </w:p>
    <w:p w14:paraId="5849D368" w14:textId="77777777" w:rsidR="00D16B24" w:rsidRPr="00D16B24" w:rsidRDefault="00D16B24" w:rsidP="00D16B24">
      <w:pPr>
        <w:numPr>
          <w:ilvl w:val="0"/>
          <w:numId w:val="4"/>
        </w:numPr>
      </w:pPr>
      <w:r w:rsidRPr="00D16B24">
        <w:t>Sensory bottles</w:t>
      </w:r>
    </w:p>
    <w:p w14:paraId="23402A07" w14:textId="77777777" w:rsidR="00D16B24" w:rsidRPr="00D16B24" w:rsidRDefault="00D16B24" w:rsidP="00D16B24">
      <w:pPr>
        <w:numPr>
          <w:ilvl w:val="0"/>
          <w:numId w:val="4"/>
        </w:numPr>
      </w:pPr>
      <w:r w:rsidRPr="00D16B24">
        <w:t>Plastic containers</w:t>
      </w:r>
    </w:p>
    <w:p w14:paraId="6F9921F0" w14:textId="77777777" w:rsidR="00D16B24" w:rsidRPr="00D16B24" w:rsidRDefault="00D16B24" w:rsidP="00D16B24">
      <w:pPr>
        <w:numPr>
          <w:ilvl w:val="0"/>
          <w:numId w:val="4"/>
        </w:numPr>
      </w:pPr>
      <w:r w:rsidRPr="00D16B24">
        <w:t>Homemade shakers</w:t>
      </w:r>
    </w:p>
    <w:p w14:paraId="60B7D465" w14:textId="77777777" w:rsidR="00D16B24" w:rsidRPr="00D16B24" w:rsidRDefault="00D16B24" w:rsidP="00D16B24">
      <w:r w:rsidRPr="00D16B24">
        <w:t xml:space="preserve">The golden rule? </w:t>
      </w:r>
      <w:r w:rsidRPr="00D16B24">
        <w:rPr>
          <w:b/>
          <w:bCs/>
        </w:rPr>
        <w:t>Novelty fuels attention.</w:t>
      </w:r>
      <w:r w:rsidRPr="00D16B24">
        <w:t xml:space="preserve"> The stranger and more unexpected the object, the better.</w:t>
      </w:r>
    </w:p>
    <w:p w14:paraId="075C093A" w14:textId="77777777" w:rsidR="00D16B24" w:rsidRPr="00D16B24" w:rsidRDefault="00000000" w:rsidP="00D16B24">
      <w:r>
        <w:pict w14:anchorId="1DA70206">
          <v:rect id="_x0000_i1027" style="width:0;height:1.5pt" o:hralign="center" o:hrstd="t" o:hr="t" fillcolor="#a0a0a0" stroked="f"/>
        </w:pict>
      </w:r>
    </w:p>
    <w:p w14:paraId="70DAA413" w14:textId="77777777" w:rsidR="00D16B24" w:rsidRPr="00562A10" w:rsidRDefault="00D16B24" w:rsidP="00D16B24">
      <w:pPr>
        <w:rPr>
          <w:b/>
          <w:bCs/>
          <w:color w:val="156082" w:themeColor="accent1"/>
        </w:rPr>
      </w:pPr>
      <w:r w:rsidRPr="00562A10">
        <w:rPr>
          <w:b/>
          <w:bCs/>
          <w:color w:val="156082" w:themeColor="accent1"/>
        </w:rPr>
        <w:t>Setting the Scene for Success</w:t>
      </w:r>
    </w:p>
    <w:p w14:paraId="0ED55AFA" w14:textId="77777777" w:rsidR="00D16B24" w:rsidRPr="00D16B24" w:rsidRDefault="00D16B24" w:rsidP="00D16B24">
      <w:r w:rsidRPr="00D16B24">
        <w:t>A few thoughtful adjustments can make a huge difference.</w:t>
      </w:r>
    </w:p>
    <w:p w14:paraId="2A0FD5DB" w14:textId="79C81451" w:rsidR="00D16B24" w:rsidRPr="00D16B24" w:rsidRDefault="00D16B24" w:rsidP="00D16B24">
      <w:pPr>
        <w:rPr>
          <w:b/>
          <w:bCs/>
        </w:rPr>
      </w:pPr>
      <w:r w:rsidRPr="00D16B24">
        <w:rPr>
          <w:b/>
          <w:bCs/>
        </w:rPr>
        <w:t xml:space="preserve">1. Minimise </w:t>
      </w:r>
      <w:r w:rsidR="00562A10">
        <w:rPr>
          <w:b/>
          <w:bCs/>
        </w:rPr>
        <w:t>d</w:t>
      </w:r>
      <w:r w:rsidRPr="00D16B24">
        <w:rPr>
          <w:b/>
          <w:bCs/>
        </w:rPr>
        <w:t>istractions</w:t>
      </w:r>
    </w:p>
    <w:p w14:paraId="3C8BEC67" w14:textId="77777777" w:rsidR="00D16B24" w:rsidRPr="00D16B24" w:rsidRDefault="00D16B24" w:rsidP="00D16B24">
      <w:r w:rsidRPr="00D16B24">
        <w:t>Clear the learning space and position the child directly opposite you. This arrangement encourages joint attention.</w:t>
      </w:r>
    </w:p>
    <w:p w14:paraId="5EF90DF2" w14:textId="52C4D8E6" w:rsidR="00D16B24" w:rsidRPr="00D16B24" w:rsidRDefault="00D16B24" w:rsidP="00D16B24">
      <w:pPr>
        <w:rPr>
          <w:b/>
          <w:bCs/>
        </w:rPr>
      </w:pPr>
      <w:r w:rsidRPr="00D16B24">
        <w:rPr>
          <w:b/>
          <w:bCs/>
        </w:rPr>
        <w:t xml:space="preserve">2. Use a </w:t>
      </w:r>
      <w:r w:rsidR="00562A10">
        <w:rPr>
          <w:b/>
          <w:bCs/>
        </w:rPr>
        <w:t>s</w:t>
      </w:r>
      <w:r w:rsidRPr="00D16B24">
        <w:rPr>
          <w:b/>
          <w:bCs/>
        </w:rPr>
        <w:t xml:space="preserve">imple, </w:t>
      </w:r>
      <w:r w:rsidR="00562A10">
        <w:rPr>
          <w:b/>
          <w:bCs/>
        </w:rPr>
        <w:t>p</w:t>
      </w:r>
      <w:r w:rsidRPr="00D16B24">
        <w:rPr>
          <w:b/>
          <w:bCs/>
        </w:rPr>
        <w:t xml:space="preserve">redictable </w:t>
      </w:r>
      <w:r w:rsidR="00562A10">
        <w:rPr>
          <w:b/>
          <w:bCs/>
        </w:rPr>
        <w:t>s</w:t>
      </w:r>
      <w:r w:rsidRPr="00D16B24">
        <w:rPr>
          <w:b/>
          <w:bCs/>
        </w:rPr>
        <w:t>tructure</w:t>
      </w:r>
    </w:p>
    <w:p w14:paraId="1398F7A6" w14:textId="77777777" w:rsidR="00D16B24" w:rsidRPr="00D16B24" w:rsidRDefault="00D16B24" w:rsidP="00D16B24">
      <w:r w:rsidRPr="00D16B24">
        <w:t xml:space="preserve">Start with a small drawing of a bucket on a whiteboard or piece of paper and label it </w:t>
      </w:r>
      <w:r w:rsidRPr="00D16B24">
        <w:rPr>
          <w:i/>
          <w:iCs/>
        </w:rPr>
        <w:t>“bucket”</w:t>
      </w:r>
      <w:r w:rsidRPr="00D16B24">
        <w:t>. This visual cue tells the child exactly what is about to happen.</w:t>
      </w:r>
    </w:p>
    <w:p w14:paraId="6E616302" w14:textId="77777777" w:rsidR="00D16B24" w:rsidRPr="00D16B24" w:rsidRDefault="00D16B24" w:rsidP="00D16B24">
      <w:r w:rsidRPr="00D16B24">
        <w:lastRenderedPageBreak/>
        <w:t>Then introduce the “bucket song” or a simple routine phrase. The predictability helps children feel safe, calm, and ready to engage.</w:t>
      </w:r>
    </w:p>
    <w:p w14:paraId="54E0BE62" w14:textId="4C71CCBF" w:rsidR="00D16B24" w:rsidRPr="00D16B24" w:rsidRDefault="00000000" w:rsidP="00D16B24">
      <w:pPr>
        <w:rPr>
          <w:b/>
          <w:bCs/>
        </w:rPr>
      </w:pPr>
      <w:r>
        <w:pict w14:anchorId="2B056664">
          <v:rect id="_x0000_i1028" style="width:0;height:1.5pt" o:hralign="center" o:hrstd="t" o:hr="t" fillcolor="#a0a0a0" stroked="f"/>
        </w:pict>
      </w:r>
      <w:r w:rsidR="00D16B24" w:rsidRPr="00504D21">
        <w:rPr>
          <w:b/>
          <w:bCs/>
          <w:color w:val="156082" w:themeColor="accent1"/>
        </w:rPr>
        <w:t>How to Present the Bucket Objects</w:t>
      </w:r>
    </w:p>
    <w:p w14:paraId="4CF49C41" w14:textId="77777777" w:rsidR="00D16B24" w:rsidRPr="00D16B24" w:rsidRDefault="00D16B24" w:rsidP="00D16B24">
      <w:r w:rsidRPr="00D16B24">
        <w:t xml:space="preserve">In Stage 1, </w:t>
      </w:r>
      <w:r w:rsidRPr="00D16B24">
        <w:rPr>
          <w:b/>
          <w:bCs/>
        </w:rPr>
        <w:t>language should be kept to a minimum</w:t>
      </w:r>
      <w:r w:rsidRPr="00D16B24">
        <w:t xml:space="preserve"> so the visual experience takes centre stage.</w:t>
      </w:r>
    </w:p>
    <w:p w14:paraId="5F1B3D9B" w14:textId="77777777" w:rsidR="00D16B24" w:rsidRPr="00D16B24" w:rsidRDefault="00D16B24" w:rsidP="00D16B24">
      <w:r w:rsidRPr="00D16B24">
        <w:t>For each item:</w:t>
      </w:r>
    </w:p>
    <w:p w14:paraId="331754E7" w14:textId="77777777" w:rsidR="00D16B24" w:rsidRPr="00D16B24" w:rsidRDefault="00D16B24" w:rsidP="00D16B24">
      <w:pPr>
        <w:numPr>
          <w:ilvl w:val="0"/>
          <w:numId w:val="5"/>
        </w:numPr>
      </w:pPr>
      <w:r w:rsidRPr="00D16B24">
        <w:t>Open the bucket.</w:t>
      </w:r>
    </w:p>
    <w:p w14:paraId="2120E37C" w14:textId="77777777" w:rsidR="00D16B24" w:rsidRPr="00D16B24" w:rsidRDefault="00D16B24" w:rsidP="00D16B24">
      <w:pPr>
        <w:numPr>
          <w:ilvl w:val="0"/>
          <w:numId w:val="5"/>
        </w:numPr>
      </w:pPr>
      <w:r w:rsidRPr="00D16B24">
        <w:t xml:space="preserve">Lift out </w:t>
      </w:r>
      <w:r w:rsidRPr="00D16B24">
        <w:rPr>
          <w:i/>
          <w:iCs/>
        </w:rPr>
        <w:t>one</w:t>
      </w:r>
      <w:r w:rsidRPr="00D16B24">
        <w:t xml:space="preserve"> object.</w:t>
      </w:r>
    </w:p>
    <w:p w14:paraId="05C3BD0E" w14:textId="77777777" w:rsidR="00D16B24" w:rsidRPr="00D16B24" w:rsidRDefault="00D16B24" w:rsidP="00D16B24">
      <w:pPr>
        <w:numPr>
          <w:ilvl w:val="0"/>
          <w:numId w:val="5"/>
        </w:numPr>
      </w:pPr>
      <w:r w:rsidRPr="00D16B24">
        <w:t xml:space="preserve">Name it simply: </w:t>
      </w:r>
    </w:p>
    <w:p w14:paraId="41386D9F" w14:textId="05AA3106" w:rsidR="00D16B24" w:rsidRPr="00D16B24" w:rsidRDefault="00D16B24" w:rsidP="005B32FF">
      <w:pPr>
        <w:ind w:left="1440"/>
      </w:pPr>
      <w:r w:rsidRPr="00D16B24">
        <w:rPr>
          <w:i/>
          <w:iCs/>
        </w:rPr>
        <w:t>“Light spinner”</w:t>
      </w:r>
    </w:p>
    <w:p w14:paraId="2CD234B2" w14:textId="77777777" w:rsidR="00D16B24" w:rsidRPr="00D16B24" w:rsidRDefault="00D16B24" w:rsidP="00D16B24">
      <w:pPr>
        <w:numPr>
          <w:ilvl w:val="0"/>
          <w:numId w:val="5"/>
        </w:numPr>
      </w:pPr>
      <w:r w:rsidRPr="00D16B24">
        <w:t>Activate it briefly.</w:t>
      </w:r>
    </w:p>
    <w:p w14:paraId="173C5287" w14:textId="77777777" w:rsidR="00D16B24" w:rsidRPr="00D16B24" w:rsidRDefault="00D16B24" w:rsidP="00D16B24">
      <w:pPr>
        <w:numPr>
          <w:ilvl w:val="0"/>
          <w:numId w:val="5"/>
        </w:numPr>
      </w:pPr>
      <w:r w:rsidRPr="00D16B24">
        <w:t>Replace it in the bucket.</w:t>
      </w:r>
    </w:p>
    <w:p w14:paraId="0036D1EC" w14:textId="77777777" w:rsidR="00D16B24" w:rsidRPr="00D16B24" w:rsidRDefault="00D16B24" w:rsidP="00D16B24">
      <w:pPr>
        <w:numPr>
          <w:ilvl w:val="0"/>
          <w:numId w:val="5"/>
        </w:numPr>
      </w:pPr>
      <w:r w:rsidRPr="00D16B24">
        <w:t>Move on to the next item.</w:t>
      </w:r>
    </w:p>
    <w:p w14:paraId="52200C25" w14:textId="77777777" w:rsidR="00D16B24" w:rsidRPr="00D16B24" w:rsidRDefault="00D16B24" w:rsidP="00D16B24">
      <w:r w:rsidRPr="00D16B24">
        <w:t xml:space="preserve">Showing just </w:t>
      </w:r>
      <w:r w:rsidRPr="00D16B24">
        <w:rPr>
          <w:b/>
          <w:bCs/>
        </w:rPr>
        <w:t>three objects</w:t>
      </w:r>
      <w:r w:rsidRPr="00D16B24">
        <w:t xml:space="preserve"> is usually enough—around </w:t>
      </w:r>
      <w:r w:rsidRPr="00D16B24">
        <w:rPr>
          <w:b/>
          <w:bCs/>
        </w:rPr>
        <w:t>2–3 minutes total</w:t>
      </w:r>
      <w:r w:rsidRPr="00D16B24">
        <w:t>.</w:t>
      </w:r>
    </w:p>
    <w:p w14:paraId="327ED73D" w14:textId="77777777" w:rsidR="00D16B24" w:rsidRPr="00D16B24" w:rsidRDefault="00D16B24" w:rsidP="00D16B24">
      <w:r w:rsidRPr="00D16B24">
        <w:t xml:space="preserve">To finish, say </w:t>
      </w:r>
      <w:r w:rsidRPr="00D16B24">
        <w:rPr>
          <w:i/>
          <w:iCs/>
        </w:rPr>
        <w:t>“Finished”</w:t>
      </w:r>
      <w:r w:rsidRPr="00D16B24">
        <w:t>, sign it if appropriate, and cross out the bucket picture. This provides a clear and comforting visual ending.</w:t>
      </w:r>
    </w:p>
    <w:p w14:paraId="47140152" w14:textId="77777777" w:rsidR="00D16B24" w:rsidRPr="00D16B24" w:rsidRDefault="00D16B24" w:rsidP="00D16B24">
      <w:r w:rsidRPr="00D16B24">
        <w:t xml:space="preserve">Follow the activity with a </w:t>
      </w:r>
      <w:r w:rsidRPr="00D16B24">
        <w:rPr>
          <w:b/>
          <w:bCs/>
        </w:rPr>
        <w:t>preferred routine</w:t>
      </w:r>
      <w:r w:rsidRPr="00D16B24">
        <w:t xml:space="preserve"> (e.g., snack time) to reinforce positive transitions.</w:t>
      </w:r>
    </w:p>
    <w:p w14:paraId="65838F89" w14:textId="77777777" w:rsidR="00D16B24" w:rsidRPr="00D16B24" w:rsidRDefault="00000000" w:rsidP="00D16B24">
      <w:r>
        <w:pict w14:anchorId="0935C560">
          <v:rect id="_x0000_i1029" style="width:0;height:1.5pt" o:hralign="center" o:hrstd="t" o:hr="t" fillcolor="#a0a0a0" stroked="f"/>
        </w:pict>
      </w:r>
    </w:p>
    <w:p w14:paraId="0326786E" w14:textId="77777777" w:rsidR="00D16B24" w:rsidRPr="00B63AA9" w:rsidRDefault="00D16B24" w:rsidP="00D16B24">
      <w:pPr>
        <w:rPr>
          <w:b/>
          <w:bCs/>
          <w:color w:val="156082" w:themeColor="accent1"/>
        </w:rPr>
      </w:pPr>
      <w:r w:rsidRPr="00B63AA9">
        <w:rPr>
          <w:b/>
          <w:bCs/>
          <w:color w:val="156082" w:themeColor="accent1"/>
        </w:rPr>
        <w:t>Important Rules to Protect the Magic</w:t>
      </w:r>
    </w:p>
    <w:p w14:paraId="75E6B886" w14:textId="77777777" w:rsidR="00D16B24" w:rsidRPr="00D16B24" w:rsidRDefault="00D16B24" w:rsidP="00D16B24">
      <w:r w:rsidRPr="00D16B24">
        <w:rPr>
          <w:rFonts w:ascii="Segoe UI Emoji" w:hAnsi="Segoe UI Emoji" w:cs="Segoe UI Emoji"/>
        </w:rPr>
        <w:t>✨</w:t>
      </w:r>
      <w:r w:rsidRPr="00D16B24">
        <w:t xml:space="preserve"> </w:t>
      </w:r>
      <w:r w:rsidRPr="00D16B24">
        <w:rPr>
          <w:b/>
          <w:bCs/>
        </w:rPr>
        <w:t>Do not give the objects to the child.</w:t>
      </w:r>
      <w:r w:rsidRPr="00D16B24">
        <w:br/>
        <w:t>They are “special viewing items”, not toys for handling.</w:t>
      </w:r>
    </w:p>
    <w:p w14:paraId="2F41DF19" w14:textId="77777777" w:rsidR="00D16B24" w:rsidRPr="00D16B24" w:rsidRDefault="00D16B24" w:rsidP="00D16B24">
      <w:r w:rsidRPr="00D16B24">
        <w:rPr>
          <w:rFonts w:ascii="Segoe UI Emoji" w:hAnsi="Segoe UI Emoji" w:cs="Segoe UI Emoji"/>
        </w:rPr>
        <w:t>✨</w:t>
      </w:r>
      <w:r w:rsidRPr="00D16B24">
        <w:t xml:space="preserve"> </w:t>
      </w:r>
      <w:r w:rsidRPr="00D16B24">
        <w:rPr>
          <w:b/>
          <w:bCs/>
        </w:rPr>
        <w:t>Avoid including anything the child already loves.</w:t>
      </w:r>
      <w:r w:rsidRPr="00D16B24">
        <w:br/>
        <w:t>For example, if they adore Peppa Pig, a Peppa toy they can’t touch may trigger distress instead of attention.</w:t>
      </w:r>
    </w:p>
    <w:p w14:paraId="0D189A93" w14:textId="77777777" w:rsidR="00D16B24" w:rsidRPr="00D16B24" w:rsidRDefault="00D16B24" w:rsidP="00D16B24">
      <w:r w:rsidRPr="00D16B24">
        <w:t xml:space="preserve">The Bucket should always feel </w:t>
      </w:r>
      <w:r w:rsidRPr="00D16B24">
        <w:rPr>
          <w:b/>
          <w:bCs/>
        </w:rPr>
        <w:t>fresh, exciting, and full of surprises</w:t>
      </w:r>
      <w:r w:rsidRPr="00D16B24">
        <w:t>.</w:t>
      </w:r>
    </w:p>
    <w:p w14:paraId="03EEC0BD" w14:textId="77777777" w:rsidR="00D16B24" w:rsidRPr="00D16B24" w:rsidRDefault="00000000" w:rsidP="00D16B24">
      <w:r>
        <w:pict w14:anchorId="6EE1AC71">
          <v:rect id="_x0000_i1030" style="width:0;height:1.5pt" o:hralign="center" o:hrstd="t" o:hr="t" fillcolor="#a0a0a0" stroked="f"/>
        </w:pict>
      </w:r>
    </w:p>
    <w:p w14:paraId="7964C323" w14:textId="77777777" w:rsidR="00D16B24" w:rsidRPr="006443F1" w:rsidRDefault="00D16B24" w:rsidP="00D16B24">
      <w:pPr>
        <w:rPr>
          <w:b/>
          <w:bCs/>
          <w:color w:val="156082" w:themeColor="accent1"/>
        </w:rPr>
      </w:pPr>
      <w:r w:rsidRPr="006443F1">
        <w:rPr>
          <w:b/>
          <w:bCs/>
          <w:color w:val="156082" w:themeColor="accent1"/>
        </w:rPr>
        <w:t>Why the Bucket Stage Works</w:t>
      </w:r>
    </w:p>
    <w:p w14:paraId="299F0390" w14:textId="77777777" w:rsidR="00D16B24" w:rsidRPr="00D16B24" w:rsidRDefault="00D16B24" w:rsidP="00D16B24">
      <w:r w:rsidRPr="00D16B24">
        <w:t>The Bucket Stage is simple but powerful. When used consistently, it helps children:</w:t>
      </w:r>
    </w:p>
    <w:p w14:paraId="545869E0" w14:textId="77777777" w:rsidR="00D16B24" w:rsidRPr="00D16B24" w:rsidRDefault="00D16B24" w:rsidP="00D16B24">
      <w:pPr>
        <w:numPr>
          <w:ilvl w:val="0"/>
          <w:numId w:val="6"/>
        </w:numPr>
      </w:pPr>
      <w:r w:rsidRPr="00D16B24">
        <w:t xml:space="preserve">Build </w:t>
      </w:r>
      <w:r w:rsidRPr="00D16B24">
        <w:rPr>
          <w:b/>
          <w:bCs/>
        </w:rPr>
        <w:t>joint attention</w:t>
      </w:r>
    </w:p>
    <w:p w14:paraId="5EE2A9EA" w14:textId="77777777" w:rsidR="00D16B24" w:rsidRPr="00D16B24" w:rsidRDefault="00D16B24" w:rsidP="00D16B24">
      <w:pPr>
        <w:numPr>
          <w:ilvl w:val="0"/>
          <w:numId w:val="6"/>
        </w:numPr>
      </w:pPr>
      <w:r w:rsidRPr="00D16B24">
        <w:t xml:space="preserve">Strengthen </w:t>
      </w:r>
      <w:r w:rsidRPr="00D16B24">
        <w:rPr>
          <w:b/>
          <w:bCs/>
        </w:rPr>
        <w:t>visual focus</w:t>
      </w:r>
    </w:p>
    <w:p w14:paraId="389D534B" w14:textId="459BC39A" w:rsidR="00D16B24" w:rsidRPr="00D16B24" w:rsidRDefault="00D16B24" w:rsidP="00D16B24">
      <w:pPr>
        <w:numPr>
          <w:ilvl w:val="0"/>
          <w:numId w:val="6"/>
        </w:numPr>
      </w:pPr>
      <w:r w:rsidRPr="00D16B24">
        <w:t>Learn to attend to an adult in a positive, low</w:t>
      </w:r>
      <w:r w:rsidR="665DE62B">
        <w:t>-</w:t>
      </w:r>
      <w:r w:rsidRPr="00D16B24">
        <w:t>pressure setting</w:t>
      </w:r>
    </w:p>
    <w:p w14:paraId="0691438F" w14:textId="77777777" w:rsidR="00D16B24" w:rsidRPr="00D16B24" w:rsidRDefault="00D16B24" w:rsidP="00D16B24">
      <w:pPr>
        <w:numPr>
          <w:ilvl w:val="0"/>
          <w:numId w:val="6"/>
        </w:numPr>
      </w:pPr>
      <w:r w:rsidRPr="00D16B24">
        <w:t xml:space="preserve">Develop early </w:t>
      </w:r>
      <w:r w:rsidRPr="00D16B24">
        <w:rPr>
          <w:b/>
          <w:bCs/>
        </w:rPr>
        <w:t>listening and learning behaviours</w:t>
      </w:r>
    </w:p>
    <w:p w14:paraId="0DD97A3A" w14:textId="77777777" w:rsidR="00D16B24" w:rsidRPr="00D16B24" w:rsidRDefault="00D16B24" w:rsidP="00D16B24">
      <w:pPr>
        <w:numPr>
          <w:ilvl w:val="0"/>
          <w:numId w:val="6"/>
        </w:numPr>
      </w:pPr>
      <w:r w:rsidRPr="00D16B24">
        <w:lastRenderedPageBreak/>
        <w:t>Prepare for later Attention Autism stages and group learning</w:t>
      </w:r>
    </w:p>
    <w:p w14:paraId="0A97858B" w14:textId="5CAE0F1F" w:rsidR="006C33BA" w:rsidRDefault="00D16B24">
      <w:r w:rsidRPr="00D16B24">
        <w:t xml:space="preserve">Most importantly, it creates moments of </w:t>
      </w:r>
      <w:r w:rsidRPr="00D16B24">
        <w:rPr>
          <w:b/>
          <w:bCs/>
        </w:rPr>
        <w:t>connection, wonder, joy, and shared attention</w:t>
      </w:r>
      <w:r w:rsidRPr="00D16B24">
        <w:t>—the building blocks of meaningful learning.</w:t>
      </w:r>
    </w:p>
    <w:sectPr w:rsidR="006C33BA" w:rsidSect="004D1E58">
      <w:headerReference w:type="even" r:id="rId15"/>
      <w:headerReference w:type="default" r:id="rId16"/>
      <w:footerReference w:type="even" r:id="rId17"/>
      <w:footerReference w:type="default" r:id="rId18"/>
      <w:headerReference w:type="first" r:id="rId19"/>
      <w:footerReference w:type="first" r:id="rId20"/>
      <w:pgSz w:w="11906" w:h="16838"/>
      <w:pgMar w:top="1134" w:right="1440" w:bottom="1134" w:left="144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9CCB6" w14:textId="77777777" w:rsidR="00F35408" w:rsidRDefault="00F35408" w:rsidP="00D16B24">
      <w:pPr>
        <w:spacing w:after="0" w:line="240" w:lineRule="auto"/>
      </w:pPr>
      <w:r>
        <w:separator/>
      </w:r>
    </w:p>
  </w:endnote>
  <w:endnote w:type="continuationSeparator" w:id="0">
    <w:p w14:paraId="19013B0A" w14:textId="77777777" w:rsidR="00F35408" w:rsidRDefault="00F35408" w:rsidP="00D16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44BB4" w14:textId="77777777" w:rsidR="00E67B61" w:rsidRDefault="00E67B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12A7F8B" w14:paraId="2ACB8DFF" w14:textId="77777777" w:rsidTr="612A7F8B">
      <w:trPr>
        <w:trHeight w:val="300"/>
      </w:trPr>
      <w:tc>
        <w:tcPr>
          <w:tcW w:w="3005" w:type="dxa"/>
        </w:tcPr>
        <w:p w14:paraId="094E57F2" w14:textId="15E9B46E" w:rsidR="612A7F8B" w:rsidRDefault="612A7F8B" w:rsidP="612A7F8B">
          <w:pPr>
            <w:pStyle w:val="Header"/>
            <w:ind w:left="-115"/>
          </w:pPr>
        </w:p>
      </w:tc>
      <w:tc>
        <w:tcPr>
          <w:tcW w:w="3005" w:type="dxa"/>
        </w:tcPr>
        <w:p w14:paraId="725A79F7" w14:textId="47290D11" w:rsidR="612A7F8B" w:rsidRDefault="612A7F8B" w:rsidP="612A7F8B">
          <w:pPr>
            <w:pStyle w:val="Header"/>
            <w:jc w:val="center"/>
          </w:pPr>
        </w:p>
      </w:tc>
      <w:tc>
        <w:tcPr>
          <w:tcW w:w="3005" w:type="dxa"/>
        </w:tcPr>
        <w:p w14:paraId="47865750" w14:textId="6327BD65" w:rsidR="612A7F8B" w:rsidRDefault="612A7F8B" w:rsidP="612A7F8B">
          <w:pPr>
            <w:pStyle w:val="Header"/>
            <w:ind w:right="-115"/>
            <w:jc w:val="right"/>
          </w:pPr>
        </w:p>
      </w:tc>
    </w:tr>
  </w:tbl>
  <w:p w14:paraId="23D6C6AE" w14:textId="5A7CDAA6" w:rsidR="00621EBC" w:rsidRDefault="00621E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1C14" w14:textId="77777777" w:rsidR="00E67B61" w:rsidRDefault="00E67B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20BD3" w14:textId="77777777" w:rsidR="00F35408" w:rsidRDefault="00F35408" w:rsidP="00D16B24">
      <w:pPr>
        <w:spacing w:after="0" w:line="240" w:lineRule="auto"/>
      </w:pPr>
      <w:r>
        <w:separator/>
      </w:r>
    </w:p>
  </w:footnote>
  <w:footnote w:type="continuationSeparator" w:id="0">
    <w:p w14:paraId="5C8ABCBA" w14:textId="77777777" w:rsidR="00F35408" w:rsidRDefault="00F35408" w:rsidP="00D16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BCAD0" w14:textId="77777777" w:rsidR="00E67B61" w:rsidRDefault="00E67B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DA939" w14:textId="3BD3488A" w:rsidR="00D16B24" w:rsidRDefault="00D16B24">
    <w:pPr>
      <w:pStyle w:val="Heade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0"/>
      <w:gridCol w:w="4110"/>
    </w:tblGrid>
    <w:tr w:rsidR="00D16B24" w:rsidRPr="00D16B24" w14:paraId="0BE57EC4" w14:textId="77777777">
      <w:trPr>
        <w:trHeight w:val="300"/>
      </w:trPr>
      <w:tc>
        <w:tcPr>
          <w:tcW w:w="1890" w:type="dxa"/>
          <w:tcBorders>
            <w:top w:val="nil"/>
            <w:left w:val="nil"/>
            <w:bottom w:val="nil"/>
            <w:right w:val="nil"/>
          </w:tcBorders>
          <w:hideMark/>
        </w:tcPr>
        <w:p w14:paraId="6CB735CA" w14:textId="0224E6A1" w:rsidR="00D16B24" w:rsidRPr="00D16B24" w:rsidRDefault="00D16B24" w:rsidP="00D16B24">
          <w:pPr>
            <w:pStyle w:val="Header"/>
          </w:pPr>
          <w:r w:rsidRPr="00D16B24">
            <w:rPr>
              <w:noProof/>
            </w:rPr>
            <w:drawing>
              <wp:inline distT="0" distB="0" distL="0" distR="0" wp14:anchorId="67F1BFF4" wp14:editId="428BA425">
                <wp:extent cx="666750" cy="666750"/>
                <wp:effectExtent l="0" t="0" r="0" b="0"/>
                <wp:docPr id="957008243" name="Picture 6" descr="A logo with a circle and a pink and blue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 logo with a circle and a pink and blue circ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r w:rsidRPr="00D16B24">
            <w:t>              </w:t>
          </w:r>
        </w:p>
      </w:tc>
      <w:tc>
        <w:tcPr>
          <w:tcW w:w="4110" w:type="dxa"/>
          <w:tcBorders>
            <w:top w:val="nil"/>
            <w:left w:val="nil"/>
            <w:bottom w:val="nil"/>
            <w:right w:val="nil"/>
          </w:tcBorders>
          <w:hideMark/>
        </w:tcPr>
        <w:p w14:paraId="4B977161" w14:textId="60D602AB" w:rsidR="00D16B24" w:rsidRPr="00D16B24" w:rsidRDefault="00D16B24" w:rsidP="00D16B24">
          <w:pPr>
            <w:pStyle w:val="Header"/>
          </w:pPr>
          <w:r w:rsidRPr="00D16B24">
            <w:t> </w:t>
          </w:r>
          <w:r w:rsidRPr="00D16B24">
            <w:rPr>
              <w:noProof/>
            </w:rPr>
            <w:drawing>
              <wp:inline distT="0" distB="0" distL="0" distR="0" wp14:anchorId="405DE216" wp14:editId="197CB91B">
                <wp:extent cx="2000250" cy="361950"/>
                <wp:effectExtent l="0" t="0" r="0" b="0"/>
                <wp:docPr id="1675940085" name="Picture 5" descr="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ext Box 2, Textbo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0250" cy="361950"/>
                        </a:xfrm>
                        <a:prstGeom prst="rect">
                          <a:avLst/>
                        </a:prstGeom>
                        <a:noFill/>
                        <a:ln>
                          <a:noFill/>
                        </a:ln>
                      </pic:spPr>
                    </pic:pic>
                  </a:graphicData>
                </a:graphic>
              </wp:inline>
            </w:drawing>
          </w:r>
          <w:r w:rsidRPr="00D16B24">
            <w:t> </w:t>
          </w:r>
        </w:p>
      </w:tc>
    </w:tr>
  </w:tbl>
  <w:p w14:paraId="2AB6F0E7" w14:textId="77777777" w:rsidR="00D16B24" w:rsidRDefault="00D16B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1A938" w14:textId="77777777" w:rsidR="00E67B61" w:rsidRDefault="00E67B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B38"/>
    <w:multiLevelType w:val="multilevel"/>
    <w:tmpl w:val="E2AC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664BE"/>
    <w:multiLevelType w:val="multilevel"/>
    <w:tmpl w:val="54D867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A30922"/>
    <w:multiLevelType w:val="multilevel"/>
    <w:tmpl w:val="0DAE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651B9F"/>
    <w:multiLevelType w:val="multilevel"/>
    <w:tmpl w:val="908CE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5D5220"/>
    <w:multiLevelType w:val="multilevel"/>
    <w:tmpl w:val="BE2AF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7C1467"/>
    <w:multiLevelType w:val="multilevel"/>
    <w:tmpl w:val="E93E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8694367">
    <w:abstractNumId w:val="4"/>
  </w:num>
  <w:num w:numId="2" w16cid:durableId="2093356980">
    <w:abstractNumId w:val="5"/>
  </w:num>
  <w:num w:numId="3" w16cid:durableId="556740987">
    <w:abstractNumId w:val="2"/>
  </w:num>
  <w:num w:numId="4" w16cid:durableId="406733367">
    <w:abstractNumId w:val="0"/>
  </w:num>
  <w:num w:numId="5" w16cid:durableId="734857790">
    <w:abstractNumId w:val="1"/>
  </w:num>
  <w:num w:numId="6" w16cid:durableId="2075541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B24"/>
    <w:rsid w:val="001405D6"/>
    <w:rsid w:val="00166B03"/>
    <w:rsid w:val="001B7C4B"/>
    <w:rsid w:val="0022341C"/>
    <w:rsid w:val="0022388A"/>
    <w:rsid w:val="002265B6"/>
    <w:rsid w:val="0025612D"/>
    <w:rsid w:val="002B503A"/>
    <w:rsid w:val="003C6FEF"/>
    <w:rsid w:val="003E4D34"/>
    <w:rsid w:val="003F0459"/>
    <w:rsid w:val="00426644"/>
    <w:rsid w:val="004D1E58"/>
    <w:rsid w:val="004D32CE"/>
    <w:rsid w:val="005030D6"/>
    <w:rsid w:val="00504D21"/>
    <w:rsid w:val="00550513"/>
    <w:rsid w:val="005612F0"/>
    <w:rsid w:val="00562A10"/>
    <w:rsid w:val="005B32FF"/>
    <w:rsid w:val="005D1FEC"/>
    <w:rsid w:val="006116A5"/>
    <w:rsid w:val="00613121"/>
    <w:rsid w:val="0061351B"/>
    <w:rsid w:val="00621EBC"/>
    <w:rsid w:val="006443F1"/>
    <w:rsid w:val="0067259A"/>
    <w:rsid w:val="006C33BA"/>
    <w:rsid w:val="007258CB"/>
    <w:rsid w:val="00736289"/>
    <w:rsid w:val="007725F3"/>
    <w:rsid w:val="00856EF0"/>
    <w:rsid w:val="00880D9F"/>
    <w:rsid w:val="008E4E5A"/>
    <w:rsid w:val="0093330E"/>
    <w:rsid w:val="00947C26"/>
    <w:rsid w:val="009944CA"/>
    <w:rsid w:val="00A1417E"/>
    <w:rsid w:val="00A51DEF"/>
    <w:rsid w:val="00B51EB9"/>
    <w:rsid w:val="00B63AA9"/>
    <w:rsid w:val="00C74A04"/>
    <w:rsid w:val="00CA64E0"/>
    <w:rsid w:val="00CC01DB"/>
    <w:rsid w:val="00CD62F1"/>
    <w:rsid w:val="00CE51ED"/>
    <w:rsid w:val="00D16B24"/>
    <w:rsid w:val="00D66042"/>
    <w:rsid w:val="00DB14BE"/>
    <w:rsid w:val="00DD4052"/>
    <w:rsid w:val="00E2791A"/>
    <w:rsid w:val="00E60DF3"/>
    <w:rsid w:val="00E67B61"/>
    <w:rsid w:val="00F328B6"/>
    <w:rsid w:val="00F35408"/>
    <w:rsid w:val="00F56694"/>
    <w:rsid w:val="07327DEE"/>
    <w:rsid w:val="14350C33"/>
    <w:rsid w:val="568D17B7"/>
    <w:rsid w:val="5B16AE2F"/>
    <w:rsid w:val="5C09F419"/>
    <w:rsid w:val="612A7F8B"/>
    <w:rsid w:val="665DE62B"/>
    <w:rsid w:val="7AED98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E2E6F"/>
  <w15:chartTrackingRefBased/>
  <w15:docId w15:val="{A294E1E1-2454-4EB7-B767-071825A4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6B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6B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6B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6B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6B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6B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B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B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B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B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6B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B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B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B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B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B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B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B24"/>
    <w:rPr>
      <w:rFonts w:eastAsiaTheme="majorEastAsia" w:cstheme="majorBidi"/>
      <w:color w:val="272727" w:themeColor="text1" w:themeTint="D8"/>
    </w:rPr>
  </w:style>
  <w:style w:type="paragraph" w:styleId="Title">
    <w:name w:val="Title"/>
    <w:basedOn w:val="Normal"/>
    <w:next w:val="Normal"/>
    <w:link w:val="TitleChar"/>
    <w:uiPriority w:val="10"/>
    <w:qFormat/>
    <w:rsid w:val="00D16B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B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B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B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B24"/>
    <w:pPr>
      <w:spacing w:before="160"/>
      <w:jc w:val="center"/>
    </w:pPr>
    <w:rPr>
      <w:i/>
      <w:iCs/>
      <w:color w:val="404040" w:themeColor="text1" w:themeTint="BF"/>
    </w:rPr>
  </w:style>
  <w:style w:type="character" w:customStyle="1" w:styleId="QuoteChar">
    <w:name w:val="Quote Char"/>
    <w:basedOn w:val="DefaultParagraphFont"/>
    <w:link w:val="Quote"/>
    <w:uiPriority w:val="29"/>
    <w:rsid w:val="00D16B24"/>
    <w:rPr>
      <w:i/>
      <w:iCs/>
      <w:color w:val="404040" w:themeColor="text1" w:themeTint="BF"/>
    </w:rPr>
  </w:style>
  <w:style w:type="paragraph" w:styleId="ListParagraph">
    <w:name w:val="List Paragraph"/>
    <w:basedOn w:val="Normal"/>
    <w:uiPriority w:val="34"/>
    <w:qFormat/>
    <w:rsid w:val="00D16B24"/>
    <w:pPr>
      <w:ind w:left="720"/>
      <w:contextualSpacing/>
    </w:pPr>
  </w:style>
  <w:style w:type="character" w:styleId="IntenseEmphasis">
    <w:name w:val="Intense Emphasis"/>
    <w:basedOn w:val="DefaultParagraphFont"/>
    <w:uiPriority w:val="21"/>
    <w:qFormat/>
    <w:rsid w:val="00D16B24"/>
    <w:rPr>
      <w:i/>
      <w:iCs/>
      <w:color w:val="0F4761" w:themeColor="accent1" w:themeShade="BF"/>
    </w:rPr>
  </w:style>
  <w:style w:type="paragraph" w:styleId="IntenseQuote">
    <w:name w:val="Intense Quote"/>
    <w:basedOn w:val="Normal"/>
    <w:next w:val="Normal"/>
    <w:link w:val="IntenseQuoteChar"/>
    <w:uiPriority w:val="30"/>
    <w:qFormat/>
    <w:rsid w:val="00D16B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6B24"/>
    <w:rPr>
      <w:i/>
      <w:iCs/>
      <w:color w:val="0F4761" w:themeColor="accent1" w:themeShade="BF"/>
    </w:rPr>
  </w:style>
  <w:style w:type="character" w:styleId="IntenseReference">
    <w:name w:val="Intense Reference"/>
    <w:basedOn w:val="DefaultParagraphFont"/>
    <w:uiPriority w:val="32"/>
    <w:qFormat/>
    <w:rsid w:val="00D16B24"/>
    <w:rPr>
      <w:b/>
      <w:bCs/>
      <w:smallCaps/>
      <w:color w:val="0F4761" w:themeColor="accent1" w:themeShade="BF"/>
      <w:spacing w:val="5"/>
    </w:rPr>
  </w:style>
  <w:style w:type="paragraph" w:styleId="Header">
    <w:name w:val="header"/>
    <w:basedOn w:val="Normal"/>
    <w:link w:val="HeaderChar"/>
    <w:uiPriority w:val="99"/>
    <w:unhideWhenUsed/>
    <w:rsid w:val="00D16B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B24"/>
  </w:style>
  <w:style w:type="paragraph" w:styleId="Footer">
    <w:name w:val="footer"/>
    <w:basedOn w:val="Normal"/>
    <w:link w:val="FooterChar"/>
    <w:uiPriority w:val="99"/>
    <w:unhideWhenUsed/>
    <w:rsid w:val="00D16B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B24"/>
  </w:style>
  <w:style w:type="table" w:styleId="TableGrid">
    <w:name w:val="Table Grid"/>
    <w:basedOn w:val="TableNormal"/>
    <w:uiPriority w:val="59"/>
    <w:rsid w:val="00621E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0.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0.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b085dd-9b2f-4a42-aa99-d377415bd4d1" xsi:nil="true"/>
    <lcf76f155ced4ddcb4097134ff3c332f xmlns="1e6db7b8-dab0-44ec-a681-783aa53e398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FAD71DE463DB4E8195C2D40F4E67A1" ma:contentTypeVersion="16" ma:contentTypeDescription="Create a new document." ma:contentTypeScope="" ma:versionID="858a827756ece6ff8bbfc86920a54580">
  <xsd:schema xmlns:xsd="http://www.w3.org/2001/XMLSchema" xmlns:xs="http://www.w3.org/2001/XMLSchema" xmlns:p="http://schemas.microsoft.com/office/2006/metadata/properties" xmlns:ns2="1e6db7b8-dab0-44ec-a681-783aa53e3983" xmlns:ns3="79b085dd-9b2f-4a42-aa99-d377415bd4d1" targetNamespace="http://schemas.microsoft.com/office/2006/metadata/properties" ma:root="true" ma:fieldsID="37f1434de3bdd687efb44d065956b2d7" ns2:_="" ns3:_="">
    <xsd:import namespace="1e6db7b8-dab0-44ec-a681-783aa53e3983"/>
    <xsd:import namespace="79b085dd-9b2f-4a42-aa99-d377415bd4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db7b8-dab0-44ec-a681-783aa53e3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ce3fa7-91ab-4b14-b7c9-a72e1ece85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b085dd-9b2f-4a42-aa99-d377415bd4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0e8cdcf-3f85-4b38-8442-2c3e50cfa7a6}" ma:internalName="TaxCatchAll" ma:showField="CatchAllData" ma:web="79b085dd-9b2f-4a42-aa99-d377415bd4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D4BB06-643F-4FC4-911C-59CCE622B341}">
  <ds:schemaRefs>
    <ds:schemaRef ds:uri="http://schemas.microsoft.com/office/2006/metadata/properties"/>
    <ds:schemaRef ds:uri="http://schemas.microsoft.com/office/infopath/2007/PartnerControls"/>
    <ds:schemaRef ds:uri="79b085dd-9b2f-4a42-aa99-d377415bd4d1"/>
    <ds:schemaRef ds:uri="1e6db7b8-dab0-44ec-a681-783aa53e3983"/>
  </ds:schemaRefs>
</ds:datastoreItem>
</file>

<file path=customXml/itemProps2.xml><?xml version="1.0" encoding="utf-8"?>
<ds:datastoreItem xmlns:ds="http://schemas.openxmlformats.org/officeDocument/2006/customXml" ds:itemID="{83DEB734-3A8F-4382-AC62-59097E952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db7b8-dab0-44ec-a681-783aa53e3983"/>
    <ds:schemaRef ds:uri="79b085dd-9b2f-4a42-aa99-d377415bd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3FF9E-3D2B-4781-B216-F50D49FB11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609</Words>
  <Characters>3250</Characters>
  <Application>Microsoft Office Word</Application>
  <DocSecurity>0</DocSecurity>
  <Lines>93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Williamson</dc:creator>
  <cp:keywords/>
  <dc:description/>
  <cp:lastModifiedBy>Lindsay Hilton</cp:lastModifiedBy>
  <cp:revision>20</cp:revision>
  <dcterms:created xsi:type="dcterms:W3CDTF">2026-02-13T13:59:00Z</dcterms:created>
  <dcterms:modified xsi:type="dcterms:W3CDTF">2026-02-26T10:55:00Z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0x010100CAFAD71DE463DB4E8195C2D40F4E67A1</vt:lpwstr>
  </property>
  <property fmtid="{D5CDD505-2E9C-101B-9397-08002B2CF9AE}" pid="3" name="GrammarlyDocumentId">
    <vt:lpwstr>9dac6e28-e96b-4651-b190-c05a2853ee74</vt:lpwstr>
  </property>
  <property fmtid="{D5CDD505-2E9C-101B-9397-08002B2CF9AE}" pid="4" name="MediaServiceImageTags">
    <vt:lpwstr/>
  </property>
</Properties>
</file>